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09408D" w:rsidRPr="00E01C2A">
        <w:rPr>
          <w:rFonts w:asciiTheme="majorEastAsia" w:eastAsiaTheme="majorEastAsia" w:hAnsiTheme="majorEastAsia" w:hint="eastAsia"/>
          <w:b/>
          <w:sz w:val="28"/>
          <w:szCs w:val="24"/>
        </w:rPr>
        <w:t>令和２</w:t>
      </w:r>
      <w:r w:rsidR="0009408D" w:rsidRPr="00E01C2A">
        <w:rPr>
          <w:rFonts w:asciiTheme="majorEastAsia" w:eastAsiaTheme="majorEastAsia" w:hAnsiTheme="majorEastAsia"/>
          <w:b/>
          <w:sz w:val="28"/>
          <w:szCs w:val="24"/>
        </w:rPr>
        <w:t>年度</w:t>
      </w:r>
      <w:r w:rsidR="0009408D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富山県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  <w:bookmarkStart w:id="0" w:name="_GoBack"/>
      <w:bookmarkEnd w:id="0"/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11</cp:revision>
  <cp:lastPrinted>2019-04-05T06:44:00Z</cp:lastPrinted>
  <dcterms:created xsi:type="dcterms:W3CDTF">2019-06-12T09:43:00Z</dcterms:created>
  <dcterms:modified xsi:type="dcterms:W3CDTF">2020-06-26T01:56:00Z</dcterms:modified>
</cp:coreProperties>
</file>